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1D" w:rsidRDefault="00921C1D" w:rsidP="00921C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21C1D">
        <w:rPr>
          <w:rFonts w:ascii="Arial-BoldMT" w:hAnsi="Arial-BoldMT" w:cs="Arial-BoldMT"/>
          <w:b/>
          <w:bCs/>
          <w:sz w:val="24"/>
          <w:szCs w:val="24"/>
        </w:rPr>
        <w:drawing>
          <wp:inline distT="0" distB="0" distL="0" distR="0">
            <wp:extent cx="2891790" cy="1362524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36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1D" w:rsidRDefault="00921C1D" w:rsidP="00921C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21C1D" w:rsidRDefault="00921C1D" w:rsidP="00921C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 w:rsidRPr="00921C1D">
        <w:rPr>
          <w:rFonts w:ascii="Arial-BoldMT" w:hAnsi="Arial-BoldMT" w:cs="Arial-BoldMT"/>
          <w:b/>
          <w:bCs/>
          <w:i/>
          <w:sz w:val="20"/>
          <w:szCs w:val="20"/>
        </w:rPr>
        <w:t>Taken from App</w:t>
      </w:r>
      <w:r>
        <w:rPr>
          <w:rFonts w:ascii="Arial-BoldMT" w:hAnsi="Arial-BoldMT" w:cs="Arial-BoldMT"/>
          <w:b/>
          <w:bCs/>
          <w:i/>
          <w:sz w:val="20"/>
          <w:szCs w:val="20"/>
        </w:rPr>
        <w:t>endix</w:t>
      </w:r>
      <w:r w:rsidRPr="00921C1D">
        <w:rPr>
          <w:rFonts w:ascii="Arial-BoldMT" w:hAnsi="Arial-BoldMT" w:cs="Arial-BoldMT"/>
          <w:b/>
          <w:bCs/>
          <w:i/>
          <w:sz w:val="20"/>
          <w:szCs w:val="20"/>
        </w:rPr>
        <w:t xml:space="preserve"> 1 Operations Manual 2007</w:t>
      </w:r>
    </w:p>
    <w:p w:rsidR="00921C1D" w:rsidRPr="00921C1D" w:rsidRDefault="00921C1D" w:rsidP="00921C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</w:p>
    <w:p w:rsidR="00921C1D" w:rsidRDefault="00921C1D" w:rsidP="00921C1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Executive Director, DCNA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Position summary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Executive Director works independently within the framework of the Foundation’s Articles of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Incorporation, Bylaws, Operational Manual and annual and strategic plans and budgets to achieve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organisation’s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mission.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Executive Director is responsible for day to day management of the Foundation; the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implementation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action plans, work plans and budgets that have been approved by the Board of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Directors; the proper maintenance of the Foundation’s financial books and records; the supervision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staff of the Foundation; administering and monitoring grants; representation and promotion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Foundation in dealings with government and the media; fundraising; and otherwise assisting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Board.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GOVERNANCE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Board administration and Support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Executive Director is responsible for maintaining good relations and reporting to the Board.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Executive Director actively participates in Board meetings, including preparing the agenda and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content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for agenda items, guiding policy decisions, leading discussion, acting as a source of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information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stating her/his opinions and giving advice on any matters relating to the Foundation,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whether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asked for or not.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Executive Director is responsible for promptly, regularly and fully informing the Chairperson of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Executive Committee about the current affairs, activities and finances of the Foundation, and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for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obtaining the Chairperson’s advice and approval in all cases where this may be required by the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Foundation’s Articles of Incorporation, Bylaws or Operational Manual. The Executive Director is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responsible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for ensuring regular and frequent communication between the Financial Asset Manager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Finance Committee.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Planning and Budgeting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The Executive Director develops policy, prepares long-term strategic plans, annual operating plans,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annual budgets for consideration and approval by the Board, and prepares requests for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proposals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(RFPs) based on those Board-approved plans, strategies and budgets.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FINANCIAL MANAGEMENT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Signing authority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Executive Director prepares and signs contracts, leases, tax returns, grant agreements,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applications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for permits and registrations, and all other written documents on behalf of the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Foundation, provided that any resulting financial expenditures, obligations or liabilities are covered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 budget approved by the Board.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CD84C"/>
          <w:sz w:val="20"/>
          <w:szCs w:val="20"/>
        </w:rPr>
      </w:pPr>
      <w:r>
        <w:rPr>
          <w:rFonts w:ascii="ArialMT" w:hAnsi="ArialMT" w:cs="ArialMT"/>
          <w:color w:val="ACD84C"/>
          <w:sz w:val="20"/>
          <w:szCs w:val="20"/>
        </w:rPr>
        <w:t>DCNA OPERATIONAL MANUAL: VERSION 6 [May 2007]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CD84C"/>
          <w:sz w:val="18"/>
          <w:szCs w:val="18"/>
        </w:rPr>
      </w:pPr>
      <w:r>
        <w:rPr>
          <w:rFonts w:ascii="ArialMT" w:hAnsi="ArialMT" w:cs="ArialMT"/>
          <w:color w:val="ACD84C"/>
          <w:sz w:val="18"/>
          <w:szCs w:val="18"/>
        </w:rPr>
        <w:t>03 November 2007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97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Record keeping and finances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Executive Director ensures the proper maintenance of financial records and accounts of the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Foundation, either directly or by supervising other staff who are given this responsibility in their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 xml:space="preserve">Terms of Reference or by outsourcing to 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recognised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accounting office.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Executive Director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ensures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that annual audits are conducted in accordance with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recognised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standards.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Projects and grant administration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Executive Director develops and implements projects for DCNA as well as administering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grants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; monitoring and evaluating the performance of grantees, resolving any issues involving a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grantee’s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failure to perform as agreed or failure to report in a proper and timely manner as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required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; and reporting to the Board on all of the preceding.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Financial Asset Management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Executive Director assists the Board in hiring a professional financial asset manager (FAM). The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Executive Director acts as the point contact between the FAM, Treasurer and Finance Committee.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Executive Director ensures that reports and updates are submitted and distributed in a timely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manner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and that any significant developments relating to the Foundation’s investments are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promptly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brought to the attention of the Treasurer and members of the Finance Committee.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REPRESENTATION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Executive Director represents and promotes the Foundation’s interests in day-to-day dealings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on-going liaison with representatives of the central government, island governments, local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communities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local and international non-governmental organizations, local and international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businesses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that impact biodiversity or are potential donors to DCNA, multilateral and bilateral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international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donor agencies, foundations and wealthy individuals who are potential donors to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DCNA, local and international scientific and educational institutions/ associations/individuals, and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local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and international media.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External Co-ordination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Executive Director promotes DCNA within the international conservation community by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lastRenderedPageBreak/>
        <w:t>attending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appropriate venues and wherever possible making presentations. The Executive Director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coordinates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with other initiatives and government in order to avoid duplication of efforts, achieve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greater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efficiencies and synergies, access additional potential sources of funding, and raise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awareness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any potential negative impacts on biodiversity that could result from proposed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initiatives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FUNDRAISING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Executive Director collaborates with members of the Board, the Support Group in the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Netherlands and others to develop a fundraising strategy for DCNA and for the Trust Fund,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researches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and identifies potential donors, makes presentations to potential donors, prepares grant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applications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to potential donors and negotiates the terms of grant agreements with donors,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prepares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reports to donors and resolves any issues raised by donors, and travels within and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outside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Netherlands Antilles for any of the foregoing purposes.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COMMUNICATION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Executive Director collaborates with members of the Board, the Support Group in the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Netherlands and others to develop a communication strategy for DCNA, develops objectives,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identifies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target audiences, develops key messages and strategies and their implementation for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audiences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within and outside of the Netherlands Antilles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HUMAN RESOURCE MANAGEMENT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CD84C"/>
          <w:sz w:val="20"/>
          <w:szCs w:val="20"/>
        </w:rPr>
      </w:pPr>
      <w:r>
        <w:rPr>
          <w:rFonts w:ascii="ArialMT" w:hAnsi="ArialMT" w:cs="ArialMT"/>
          <w:color w:val="ACD84C"/>
          <w:sz w:val="20"/>
          <w:szCs w:val="20"/>
        </w:rPr>
        <w:t>DCNA OPERATIONAL MANUAL: VERSION 6 [May 2007]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CD84C"/>
          <w:sz w:val="18"/>
          <w:szCs w:val="18"/>
        </w:rPr>
      </w:pPr>
      <w:r>
        <w:rPr>
          <w:rFonts w:ascii="ArialMT" w:hAnsi="ArialMT" w:cs="ArialMT"/>
          <w:color w:val="ACD84C"/>
          <w:sz w:val="18"/>
          <w:szCs w:val="18"/>
        </w:rPr>
        <w:t>03 November 2007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98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Executive Director hires staff of the Foundation based on Board-approved budgets and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authorization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 The Executive Director is guided at all times in personnel matters such as hiring,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dismissal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disciplinary procedures and conflict resolution by the relevant sections of the Operational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 xml:space="preserve">Manual and Antillean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Labour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Law.</w:t>
      </w:r>
      <w:proofErr w:type="gramEnd"/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Executive Director prepares work-plans for staff, supervises the proper performance of their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duties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evaluates and, if necessary, terminates staff.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Outsourcing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Executive Director out sources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work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to appropriate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organisations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individuals and is responsible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for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developing Terms of Reference and overseeing the efficient and successful execution of the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work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Organisational</w:t>
      </w:r>
      <w:proofErr w:type="spell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Management and Development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Executive Director is responsible for the overall efficient functioning of the DCNA Secretariat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building of an effective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organisation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the development of a dynamic institutional culture,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providing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leadership and team building as well as ensuring high performance and productivity. It is</w:t>
      </w:r>
    </w:p>
    <w:p w:rsidR="003F31B6" w:rsidRDefault="003F31B6" w:rsidP="003F3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expected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that the Executive Director will set a new standard in non-governmental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organisation</w:t>
      </w:r>
      <w:proofErr w:type="spellEnd"/>
    </w:p>
    <w:p w:rsidR="00D934AA" w:rsidRDefault="003F31B6" w:rsidP="003F31B6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management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culture.</w:t>
      </w:r>
    </w:p>
    <w:sectPr w:rsidR="00D934AA" w:rsidSect="00D9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C1D"/>
    <w:rsid w:val="003F31B6"/>
    <w:rsid w:val="00744D47"/>
    <w:rsid w:val="00921C1D"/>
    <w:rsid w:val="00C47457"/>
    <w:rsid w:val="00D9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5968</Characters>
  <Application>Microsoft Office Word</Application>
  <DocSecurity>0</DocSecurity>
  <Lines>49</Lines>
  <Paragraphs>14</Paragraphs>
  <ScaleCrop>false</ScaleCrop>
  <Company>Microsoft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Paquita</dc:creator>
  <cp:lastModifiedBy>Paquita</cp:lastModifiedBy>
  <cp:revision>2</cp:revision>
  <dcterms:created xsi:type="dcterms:W3CDTF">2010-05-25T22:43:00Z</dcterms:created>
  <dcterms:modified xsi:type="dcterms:W3CDTF">2010-05-25T22:43:00Z</dcterms:modified>
</cp:coreProperties>
</file>